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90BBE" w14:textId="13D9D368" w:rsidR="007B5BC8" w:rsidRPr="00B82AFE" w:rsidRDefault="008E7162" w:rsidP="00E76498">
      <w:pPr>
        <w:pStyle w:val="NoSpacing"/>
      </w:pPr>
      <w:r w:rsidRPr="00B82AFE">
        <w:t xml:space="preserve">  </w:t>
      </w:r>
    </w:p>
    <w:tbl>
      <w:tblPr>
        <w:tblW w:w="10800" w:type="dxa"/>
        <w:tblInd w:w="108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580"/>
        <w:gridCol w:w="1980"/>
      </w:tblGrid>
      <w:tr w:rsidR="007B5BC8" w:rsidRPr="00B82AFE" w14:paraId="2442A307" w14:textId="77777777" w:rsidTr="004A33CC">
        <w:tc>
          <w:tcPr>
            <w:tcW w:w="32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23F460A0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  <w:u w:val="single"/>
              </w:rPr>
            </w:pPr>
            <w:r w:rsidRPr="00B82AFE">
              <w:rPr>
                <w:sz w:val="16"/>
                <w:szCs w:val="16"/>
                <w:u w:val="single"/>
              </w:rPr>
              <w:t>District I</w:t>
            </w:r>
          </w:p>
          <w:p w14:paraId="712BA37A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</w:rPr>
            </w:pPr>
            <w:r w:rsidRPr="00B82AFE">
              <w:rPr>
                <w:sz w:val="16"/>
                <w:szCs w:val="16"/>
              </w:rPr>
              <w:t>1625 N. French Dr., Hobbs, NM 88240</w:t>
            </w:r>
          </w:p>
          <w:p w14:paraId="322B78DB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  <w:u w:val="single"/>
              </w:rPr>
            </w:pPr>
            <w:r w:rsidRPr="00B82AFE">
              <w:rPr>
                <w:sz w:val="16"/>
                <w:szCs w:val="16"/>
                <w:u w:val="single"/>
              </w:rPr>
              <w:t>District II</w:t>
            </w:r>
          </w:p>
          <w:p w14:paraId="48C83503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</w:rPr>
            </w:pPr>
            <w:r w:rsidRPr="00B82AFE">
              <w:rPr>
                <w:sz w:val="16"/>
                <w:szCs w:val="16"/>
              </w:rPr>
              <w:t>811 S. First St., Artesia, NM 88210</w:t>
            </w:r>
          </w:p>
          <w:p w14:paraId="43A68A8F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  <w:u w:val="single"/>
              </w:rPr>
            </w:pPr>
            <w:r w:rsidRPr="00B82AFE">
              <w:rPr>
                <w:sz w:val="16"/>
                <w:szCs w:val="16"/>
                <w:u w:val="single"/>
              </w:rPr>
              <w:t>District III</w:t>
            </w:r>
          </w:p>
          <w:p w14:paraId="671E5AF3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</w:rPr>
            </w:pPr>
            <w:r w:rsidRPr="00B82AFE">
              <w:rPr>
                <w:sz w:val="16"/>
                <w:szCs w:val="16"/>
              </w:rPr>
              <w:t>1000 Rio Brazos Road, Aztec, NM 87410</w:t>
            </w:r>
          </w:p>
          <w:p w14:paraId="129415AA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6"/>
                <w:szCs w:val="16"/>
                <w:u w:val="single"/>
              </w:rPr>
            </w:pPr>
            <w:r w:rsidRPr="00B82AFE">
              <w:rPr>
                <w:sz w:val="16"/>
                <w:szCs w:val="16"/>
                <w:u w:val="single"/>
              </w:rPr>
              <w:t>District IV</w:t>
            </w:r>
          </w:p>
          <w:p w14:paraId="560FD820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rPr>
                <w:sz w:val="18"/>
                <w:szCs w:val="18"/>
              </w:rPr>
            </w:pPr>
            <w:r w:rsidRPr="00B82AFE">
              <w:rPr>
                <w:sz w:val="16"/>
                <w:szCs w:val="16"/>
              </w:rPr>
              <w:t>1220 S. St. Francis Dr., Santa Fe, NM 87505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E31466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240" w:lineRule="auto"/>
              <w:jc w:val="center"/>
            </w:pPr>
            <w:r w:rsidRPr="00B82AFE">
              <w:t>State of New Mexico</w:t>
            </w:r>
          </w:p>
          <w:p w14:paraId="7A925F8C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82AFE">
              <w:rPr>
                <w:sz w:val="22"/>
                <w:szCs w:val="22"/>
              </w:rPr>
              <w:t>Energy, Minerals and Natural Resources Department</w:t>
            </w:r>
          </w:p>
          <w:p w14:paraId="5C687D89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240" w:lineRule="auto"/>
              <w:jc w:val="center"/>
              <w:rPr>
                <w:sz w:val="12"/>
                <w:szCs w:val="12"/>
              </w:rPr>
            </w:pPr>
          </w:p>
          <w:p w14:paraId="2FA4DE64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240" w:lineRule="auto"/>
              <w:jc w:val="center"/>
            </w:pPr>
            <w:r w:rsidRPr="00B82AFE">
              <w:t>Oil Conservation Division</w:t>
            </w:r>
          </w:p>
          <w:p w14:paraId="62F47233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240" w:lineRule="auto"/>
              <w:jc w:val="center"/>
            </w:pPr>
            <w:r w:rsidRPr="00B82AFE">
              <w:t>1220 South St. Francis Dr.</w:t>
            </w:r>
          </w:p>
          <w:p w14:paraId="56CE007E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B82AFE">
              <w:t>Santa Fe, NM 87505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316B9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jc w:val="right"/>
              <w:rPr>
                <w:sz w:val="16"/>
                <w:szCs w:val="16"/>
              </w:rPr>
            </w:pPr>
          </w:p>
          <w:p w14:paraId="37FBBA42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jc w:val="right"/>
              <w:rPr>
                <w:sz w:val="18"/>
                <w:szCs w:val="18"/>
              </w:rPr>
            </w:pPr>
            <w:r w:rsidRPr="00B82AFE">
              <w:rPr>
                <w:sz w:val="18"/>
                <w:szCs w:val="18"/>
              </w:rPr>
              <w:t>Submit Original</w:t>
            </w:r>
          </w:p>
          <w:p w14:paraId="18872A40" w14:textId="2B750A4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jc w:val="right"/>
              <w:rPr>
                <w:sz w:val="18"/>
                <w:szCs w:val="18"/>
              </w:rPr>
            </w:pPr>
            <w:r w:rsidRPr="00B82AFE">
              <w:rPr>
                <w:sz w:val="18"/>
                <w:szCs w:val="18"/>
              </w:rPr>
              <w:t>to Appropriate</w:t>
            </w:r>
          </w:p>
          <w:p w14:paraId="146C92A6" w14:textId="77777777" w:rsidR="007B5BC8" w:rsidRPr="00B82AFE" w:rsidRDefault="007B5BC8">
            <w:pPr>
              <w:pStyle w:val="t1"/>
              <w:tabs>
                <w:tab w:val="left" w:pos="2715"/>
                <w:tab w:val="right" w:pos="11463"/>
              </w:tabs>
              <w:spacing w:line="170" w:lineRule="exact"/>
              <w:jc w:val="right"/>
              <w:rPr>
                <w:sz w:val="18"/>
                <w:szCs w:val="18"/>
              </w:rPr>
            </w:pPr>
            <w:r w:rsidRPr="00B82AFE">
              <w:rPr>
                <w:sz w:val="18"/>
                <w:szCs w:val="18"/>
              </w:rPr>
              <w:t>District Office</w:t>
            </w:r>
          </w:p>
        </w:tc>
      </w:tr>
    </w:tbl>
    <w:p w14:paraId="57DD4960" w14:textId="77777777" w:rsidR="004A33CC" w:rsidRDefault="004A33CC" w:rsidP="004A33CC">
      <w:pPr>
        <w:pStyle w:val="NoSpacing"/>
        <w:jc w:val="center"/>
        <w:rPr>
          <w:b/>
        </w:rPr>
      </w:pPr>
    </w:p>
    <w:p w14:paraId="096DE455" w14:textId="77777777" w:rsidR="004A33CC" w:rsidRPr="00B82AFE" w:rsidRDefault="004A33CC" w:rsidP="004A33CC">
      <w:pPr>
        <w:pStyle w:val="NoSpacing"/>
        <w:jc w:val="center"/>
      </w:pPr>
      <w:r w:rsidRPr="00B82AFE">
        <w:rPr>
          <w:b/>
        </w:rPr>
        <w:t>GAS CAPTURE PLAN</w:t>
      </w:r>
    </w:p>
    <w:p w14:paraId="5685304C" w14:textId="1C92D524" w:rsidR="007B5BC8" w:rsidRPr="00B82AFE" w:rsidRDefault="004A33CC" w:rsidP="004A33CC">
      <w:pPr>
        <w:pStyle w:val="NoSpacing"/>
        <w:rPr>
          <w:b/>
        </w:rPr>
      </w:pPr>
      <w:r w:rsidRPr="00B82AFE"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32A3A7" w14:textId="77777777" w:rsidR="007B5BC8" w:rsidRPr="00B82AFE" w:rsidRDefault="007B5BC8" w:rsidP="00E76498">
      <w:pPr>
        <w:pStyle w:val="NoSpacing"/>
      </w:pPr>
    </w:p>
    <w:p w14:paraId="4F7630AC" w14:textId="2B624676" w:rsidR="007B5BC8" w:rsidRPr="007B47A8" w:rsidRDefault="0090253E" w:rsidP="00E76498">
      <w:pPr>
        <w:pStyle w:val="NoSpacing"/>
        <w:rPr>
          <w:u w:val="single"/>
        </w:rPr>
      </w:pPr>
      <w:sdt>
        <w:sdtPr>
          <w:id w:val="-127817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62" w:rsidRPr="00B82AFE">
            <w:rPr>
              <w:rFonts w:ascii="Segoe UI Symbol" w:eastAsia="MS Gothic" w:hAnsi="Segoe UI Symbol" w:cs="Segoe UI Symbol"/>
            </w:rPr>
            <w:t>☐</w:t>
          </w:r>
        </w:sdtContent>
      </w:sdt>
      <w:r w:rsidR="007B5BC8" w:rsidRPr="00B82AFE">
        <w:t xml:space="preserve"> </w:t>
      </w:r>
      <w:r w:rsidR="004A33CC">
        <w:t xml:space="preserve"> </w:t>
      </w:r>
      <w:r w:rsidR="00613CB8">
        <w:t xml:space="preserve">Original </w:t>
      </w:r>
      <w:r w:rsidR="00613CB8">
        <w:tab/>
      </w:r>
      <w:r w:rsidR="00613CB8">
        <w:tab/>
      </w:r>
      <w:r w:rsidR="00613CB8">
        <w:tab/>
      </w:r>
      <w:r w:rsidR="00613CB8">
        <w:tab/>
      </w:r>
      <w:r w:rsidR="00613CB8">
        <w:tab/>
      </w:r>
      <w:r w:rsidR="007B47A8">
        <w:t xml:space="preserve">Operator &amp; OGRID No.: </w:t>
      </w:r>
      <w:r w:rsidR="007B47A8">
        <w:rPr>
          <w:u w:val="single"/>
        </w:rPr>
        <w:tab/>
      </w:r>
      <w:r w:rsidR="007B47A8">
        <w:rPr>
          <w:u w:val="single"/>
        </w:rPr>
        <w:tab/>
      </w:r>
      <w:r w:rsidR="007B47A8">
        <w:rPr>
          <w:u w:val="single"/>
        </w:rPr>
        <w:tab/>
      </w:r>
      <w:r w:rsidR="007B47A8">
        <w:rPr>
          <w:u w:val="single"/>
        </w:rPr>
        <w:tab/>
      </w:r>
      <w:r w:rsidR="007B47A8">
        <w:rPr>
          <w:u w:val="single"/>
        </w:rPr>
        <w:tab/>
      </w:r>
      <w:r w:rsidR="007B47A8">
        <w:rPr>
          <w:u w:val="single"/>
        </w:rPr>
        <w:tab/>
      </w:r>
    </w:p>
    <w:p w14:paraId="49601E6C" w14:textId="5F7217B6" w:rsidR="00E76498" w:rsidRPr="00B82AFE" w:rsidRDefault="0090253E" w:rsidP="00E76498">
      <w:pPr>
        <w:pStyle w:val="NoSpacing"/>
        <w:rPr>
          <w:u w:val="single"/>
        </w:rPr>
      </w:pPr>
      <w:sdt>
        <w:sdtPr>
          <w:id w:val="2702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498" w:rsidRPr="00B82AFE">
            <w:rPr>
              <w:rFonts w:ascii="Segoe UI Symbol" w:eastAsia="MS Gothic" w:hAnsi="Segoe UI Symbol" w:cs="Segoe UI Symbol"/>
            </w:rPr>
            <w:t>☐</w:t>
          </w:r>
        </w:sdtContent>
      </w:sdt>
      <w:r w:rsidR="004A33CC">
        <w:t xml:space="preserve">  </w:t>
      </w:r>
      <w:r w:rsidR="00E76498" w:rsidRPr="00B82AFE">
        <w:t>Amended</w:t>
      </w:r>
      <w:r w:rsidR="004A33CC">
        <w:t xml:space="preserve"> - </w:t>
      </w:r>
      <w:r w:rsidR="00E76498" w:rsidRPr="00B82AFE">
        <w:t>Reason for Amendment:</w:t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  <w:r w:rsidR="00E76498" w:rsidRPr="00B82AFE">
        <w:rPr>
          <w:u w:val="single"/>
        </w:rPr>
        <w:tab/>
      </w:r>
    </w:p>
    <w:p w14:paraId="5130379D" w14:textId="50B03B03" w:rsidR="00E76498" w:rsidRPr="00B82AFE" w:rsidRDefault="00E76498" w:rsidP="00E76498">
      <w:pPr>
        <w:pStyle w:val="NoSpacing"/>
        <w:rPr>
          <w:u w:val="single"/>
        </w:rPr>
      </w:pP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  <w:r w:rsidRPr="00B82AFE">
        <w:rPr>
          <w:u w:val="single"/>
        </w:rPr>
        <w:tab/>
      </w:r>
    </w:p>
    <w:p w14:paraId="21BDD5A0" w14:textId="77777777" w:rsidR="00814854" w:rsidRPr="00B82AFE" w:rsidRDefault="00814854" w:rsidP="00814854">
      <w:pPr>
        <w:pStyle w:val="NoSpacing"/>
        <w:jc w:val="both"/>
      </w:pPr>
    </w:p>
    <w:p w14:paraId="162200C4" w14:textId="0D4B46FE" w:rsidR="00BB5832" w:rsidRPr="00B82AFE" w:rsidRDefault="00BB5832" w:rsidP="00814854">
      <w:pPr>
        <w:pStyle w:val="NoSpacing"/>
        <w:jc w:val="both"/>
      </w:pPr>
      <w:r w:rsidRPr="00B82AFE">
        <w:t xml:space="preserve">This Gas Capture Plan outlines actions to be taken by the Operator to reduce </w:t>
      </w:r>
      <w:r w:rsidR="00D61104" w:rsidRPr="00B82AFE">
        <w:t>well/</w:t>
      </w:r>
      <w:r w:rsidR="00D656A4" w:rsidRPr="00B82AFE">
        <w:t xml:space="preserve">production </w:t>
      </w:r>
      <w:r w:rsidR="00FB3CE2" w:rsidRPr="00B82AFE">
        <w:t xml:space="preserve">facility </w:t>
      </w:r>
      <w:r w:rsidRPr="00B82AFE">
        <w:t>flaring</w:t>
      </w:r>
      <w:r w:rsidR="002E5AD9" w:rsidRPr="00B82AFE">
        <w:t>/venting</w:t>
      </w:r>
      <w:r w:rsidRPr="00B82AFE">
        <w:t xml:space="preserve"> for new </w:t>
      </w:r>
      <w:r w:rsidR="00AC45B5" w:rsidRPr="00B82AFE">
        <w:t>completion (new drill, recomplete to new zone, re-frac)</w:t>
      </w:r>
      <w:r w:rsidRPr="00B82AFE">
        <w:t xml:space="preserve"> </w:t>
      </w:r>
      <w:r w:rsidR="00F737E8" w:rsidRPr="00B82AFE">
        <w:t>activity.</w:t>
      </w:r>
    </w:p>
    <w:p w14:paraId="318426C3" w14:textId="77777777" w:rsidR="00BB5832" w:rsidRPr="00B82AFE" w:rsidRDefault="00BB5832" w:rsidP="00814854">
      <w:pPr>
        <w:pStyle w:val="NoSpacing"/>
        <w:jc w:val="both"/>
      </w:pPr>
    </w:p>
    <w:p w14:paraId="7C17038B" w14:textId="43345B47" w:rsidR="00E932F0" w:rsidRPr="0090253E" w:rsidRDefault="0090253E" w:rsidP="00E932F0">
      <w:pPr>
        <w:pStyle w:val="NoSpacing"/>
        <w:jc w:val="both"/>
        <w:rPr>
          <w:i/>
          <w:color w:val="FF0000"/>
          <w:spacing w:val="-4"/>
          <w:sz w:val="20"/>
          <w:szCs w:val="20"/>
          <w:u w:val="single"/>
        </w:rPr>
      </w:pPr>
      <w:r w:rsidRPr="0090253E">
        <w:rPr>
          <w:i/>
          <w:color w:val="FF0000"/>
          <w:spacing w:val="-4"/>
          <w:sz w:val="20"/>
          <w:szCs w:val="20"/>
        </w:rPr>
        <w:t>Note:  Form</w:t>
      </w:r>
      <w:r w:rsidR="00E932F0" w:rsidRPr="0090253E">
        <w:rPr>
          <w:i/>
          <w:color w:val="FF0000"/>
          <w:spacing w:val="-4"/>
          <w:sz w:val="20"/>
          <w:szCs w:val="20"/>
        </w:rPr>
        <w:t xml:space="preserve"> C-129 must be submitted and approved prior to exceeding 60 days allowed by Rule </w:t>
      </w:r>
      <w:r w:rsidR="004A33CC" w:rsidRPr="0090253E">
        <w:rPr>
          <w:i/>
          <w:color w:val="FF0000"/>
          <w:spacing w:val="-4"/>
          <w:sz w:val="20"/>
          <w:szCs w:val="20"/>
        </w:rPr>
        <w:t xml:space="preserve">(Subsection A of </w:t>
      </w:r>
      <w:r w:rsidR="00E932F0" w:rsidRPr="0090253E">
        <w:rPr>
          <w:i/>
          <w:color w:val="FF0000"/>
          <w:spacing w:val="-4"/>
          <w:sz w:val="20"/>
          <w:szCs w:val="20"/>
        </w:rPr>
        <w:t>19.15.18.12</w:t>
      </w:r>
      <w:r w:rsidR="004A33CC" w:rsidRPr="0090253E">
        <w:rPr>
          <w:i/>
          <w:color w:val="FF0000"/>
          <w:spacing w:val="-4"/>
          <w:sz w:val="20"/>
          <w:szCs w:val="20"/>
        </w:rPr>
        <w:t xml:space="preserve"> NMAC).</w:t>
      </w:r>
    </w:p>
    <w:p w14:paraId="5E1238B9" w14:textId="77777777" w:rsidR="00E932F0" w:rsidRPr="00B82AFE" w:rsidRDefault="00E932F0" w:rsidP="00814854">
      <w:pPr>
        <w:pStyle w:val="NoSpacing"/>
        <w:jc w:val="both"/>
      </w:pPr>
    </w:p>
    <w:p w14:paraId="35CFCC39" w14:textId="79AD60F0" w:rsidR="0085721A" w:rsidRPr="00B82AFE" w:rsidRDefault="002E5AD9" w:rsidP="00814854">
      <w:pPr>
        <w:pStyle w:val="NoSpacing"/>
        <w:jc w:val="both"/>
        <w:rPr>
          <w:b/>
          <w:u w:val="single"/>
        </w:rPr>
      </w:pPr>
      <w:r w:rsidRPr="00B82AFE">
        <w:rPr>
          <w:b/>
          <w:u w:val="single"/>
        </w:rPr>
        <w:t>Well(s)/</w:t>
      </w:r>
      <w:r w:rsidR="00F737E8" w:rsidRPr="00B82AFE">
        <w:rPr>
          <w:b/>
          <w:u w:val="single"/>
        </w:rPr>
        <w:t>Producti</w:t>
      </w:r>
      <w:bookmarkStart w:id="0" w:name="_GoBack"/>
      <w:bookmarkEnd w:id="0"/>
      <w:r w:rsidR="00F737E8" w:rsidRPr="00B82AFE">
        <w:rPr>
          <w:b/>
          <w:u w:val="single"/>
        </w:rPr>
        <w:t>on Facility – Name of facility</w:t>
      </w:r>
    </w:p>
    <w:p w14:paraId="5A28E01F" w14:textId="77777777" w:rsidR="00F737E8" w:rsidRPr="00B82AFE" w:rsidRDefault="00F737E8" w:rsidP="00814854">
      <w:pPr>
        <w:pStyle w:val="NoSpacing"/>
        <w:jc w:val="both"/>
        <w:rPr>
          <w:u w:val="single"/>
        </w:rPr>
      </w:pPr>
    </w:p>
    <w:p w14:paraId="7FDA882F" w14:textId="174CA0DA" w:rsidR="0085721A" w:rsidRPr="00B82AFE" w:rsidRDefault="005213A7" w:rsidP="00814854">
      <w:pPr>
        <w:pStyle w:val="NoSpacing"/>
        <w:jc w:val="both"/>
      </w:pPr>
      <w:r w:rsidRPr="00B82AFE">
        <w:t xml:space="preserve">The </w:t>
      </w:r>
      <w:r w:rsidR="00B931DD" w:rsidRPr="00B82AFE">
        <w:t>well</w:t>
      </w:r>
      <w:r w:rsidRPr="00B82AFE">
        <w:t>(</w:t>
      </w:r>
      <w:r w:rsidR="00B931DD" w:rsidRPr="00B82AFE">
        <w:t>s</w:t>
      </w:r>
      <w:r w:rsidRPr="00B82AFE">
        <w:t>)</w:t>
      </w:r>
      <w:r w:rsidR="00B931DD" w:rsidRPr="00B82AFE">
        <w:t xml:space="preserve"> that will be located </w:t>
      </w:r>
      <w:r w:rsidR="00F737E8" w:rsidRPr="00B82AFE">
        <w:t xml:space="preserve">at the production facility </w:t>
      </w:r>
      <w:r w:rsidR="00B931DD" w:rsidRPr="00B82AFE">
        <w:t>are shown in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2"/>
        <w:gridCol w:w="1153"/>
        <w:gridCol w:w="1550"/>
        <w:gridCol w:w="1080"/>
        <w:gridCol w:w="1080"/>
        <w:gridCol w:w="1170"/>
        <w:gridCol w:w="1975"/>
      </w:tblGrid>
      <w:tr w:rsidR="002E5AD9" w:rsidRPr="00B82AFE" w14:paraId="0964C5CD" w14:textId="77777777" w:rsidTr="00855173">
        <w:trPr>
          <w:trHeight w:hRule="exact" w:val="568"/>
          <w:jc w:val="center"/>
        </w:trPr>
        <w:tc>
          <w:tcPr>
            <w:tcW w:w="2062" w:type="dxa"/>
          </w:tcPr>
          <w:p w14:paraId="3E3F184D" w14:textId="68A23197" w:rsidR="002E5AD9" w:rsidRPr="00B82AFE" w:rsidRDefault="002E5AD9" w:rsidP="007C2C2B">
            <w:pPr>
              <w:pStyle w:val="NoSpacing"/>
            </w:pPr>
            <w:r w:rsidRPr="00B82AFE">
              <w:t>Well Name</w:t>
            </w:r>
          </w:p>
        </w:tc>
        <w:tc>
          <w:tcPr>
            <w:tcW w:w="1153" w:type="dxa"/>
          </w:tcPr>
          <w:p w14:paraId="0CDFEC9E" w14:textId="13879328" w:rsidR="002E5AD9" w:rsidRPr="00B82AFE" w:rsidRDefault="002E5AD9" w:rsidP="007C2C2B">
            <w:pPr>
              <w:pStyle w:val="NoSpacing"/>
            </w:pPr>
            <w:r w:rsidRPr="00B82AFE">
              <w:t>API</w:t>
            </w:r>
          </w:p>
        </w:tc>
        <w:tc>
          <w:tcPr>
            <w:tcW w:w="1550" w:type="dxa"/>
          </w:tcPr>
          <w:p w14:paraId="223A76AF" w14:textId="527F793C" w:rsidR="002E5AD9" w:rsidRPr="00B82AFE" w:rsidRDefault="002E5AD9" w:rsidP="007C2C2B">
            <w:pPr>
              <w:pStyle w:val="NoSpacing"/>
            </w:pPr>
            <w:r w:rsidRPr="00B82AFE">
              <w:t>Well Location (ULSTR)</w:t>
            </w:r>
          </w:p>
          <w:p w14:paraId="77F07082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080" w:type="dxa"/>
          </w:tcPr>
          <w:p w14:paraId="6EC42C0B" w14:textId="7E5759DB" w:rsidR="002E5AD9" w:rsidRPr="00B82AFE" w:rsidRDefault="002E5AD9" w:rsidP="007C2C2B">
            <w:pPr>
              <w:pStyle w:val="NoSpacing"/>
            </w:pPr>
            <w:r w:rsidRPr="00B82AFE">
              <w:t>Footages</w:t>
            </w:r>
          </w:p>
        </w:tc>
        <w:tc>
          <w:tcPr>
            <w:tcW w:w="1080" w:type="dxa"/>
          </w:tcPr>
          <w:p w14:paraId="6B470B66" w14:textId="330AA28A" w:rsidR="002E5AD9" w:rsidRPr="00B82AFE" w:rsidRDefault="002E5AD9" w:rsidP="00814854">
            <w:pPr>
              <w:pStyle w:val="NoSpacing"/>
              <w:jc w:val="both"/>
            </w:pPr>
            <w:r w:rsidRPr="00B82AFE">
              <w:t>Expected MCF/D</w:t>
            </w:r>
          </w:p>
        </w:tc>
        <w:tc>
          <w:tcPr>
            <w:tcW w:w="1170" w:type="dxa"/>
          </w:tcPr>
          <w:p w14:paraId="6F6AF413" w14:textId="6D4651D4" w:rsidR="002E5AD9" w:rsidRPr="00B82AFE" w:rsidRDefault="007C2C2B" w:rsidP="007C2C2B">
            <w:pPr>
              <w:pStyle w:val="NoSpacing"/>
            </w:pPr>
            <w:r>
              <w:t xml:space="preserve">Flared </w:t>
            </w:r>
            <w:r w:rsidR="00855173" w:rsidRPr="00B82AFE">
              <w:t>or Vented</w:t>
            </w:r>
          </w:p>
        </w:tc>
        <w:tc>
          <w:tcPr>
            <w:tcW w:w="1975" w:type="dxa"/>
          </w:tcPr>
          <w:p w14:paraId="1F8D438A" w14:textId="60F6997B" w:rsidR="002E5AD9" w:rsidRPr="00B82AFE" w:rsidRDefault="002E5AD9" w:rsidP="007C2C2B">
            <w:pPr>
              <w:pStyle w:val="NoSpacing"/>
            </w:pPr>
            <w:r w:rsidRPr="00B82AFE">
              <w:t>Comments</w:t>
            </w:r>
          </w:p>
        </w:tc>
      </w:tr>
      <w:tr w:rsidR="002E5AD9" w:rsidRPr="00B82AFE" w14:paraId="51C9D6DA" w14:textId="77777777" w:rsidTr="00855173">
        <w:trPr>
          <w:trHeight w:hRule="exact" w:val="432"/>
          <w:jc w:val="center"/>
        </w:trPr>
        <w:tc>
          <w:tcPr>
            <w:tcW w:w="2062" w:type="dxa"/>
          </w:tcPr>
          <w:p w14:paraId="7A04F394" w14:textId="37E7CBBA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153" w:type="dxa"/>
          </w:tcPr>
          <w:p w14:paraId="5CAC2653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550" w:type="dxa"/>
          </w:tcPr>
          <w:p w14:paraId="07C35FC7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080" w:type="dxa"/>
          </w:tcPr>
          <w:p w14:paraId="3A6848E7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080" w:type="dxa"/>
          </w:tcPr>
          <w:p w14:paraId="7269DA68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170" w:type="dxa"/>
          </w:tcPr>
          <w:p w14:paraId="440CEA40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975" w:type="dxa"/>
          </w:tcPr>
          <w:p w14:paraId="61ECBADF" w14:textId="7522686C" w:rsidR="002E5AD9" w:rsidRPr="00B82AFE" w:rsidRDefault="002E5AD9" w:rsidP="00814854">
            <w:pPr>
              <w:pStyle w:val="NoSpacing"/>
              <w:jc w:val="both"/>
            </w:pPr>
          </w:p>
        </w:tc>
      </w:tr>
      <w:tr w:rsidR="002E5AD9" w:rsidRPr="00B82AFE" w14:paraId="312BF4E7" w14:textId="77777777" w:rsidTr="00855173">
        <w:trPr>
          <w:trHeight w:hRule="exact" w:val="432"/>
          <w:jc w:val="center"/>
        </w:trPr>
        <w:tc>
          <w:tcPr>
            <w:tcW w:w="2062" w:type="dxa"/>
          </w:tcPr>
          <w:p w14:paraId="47443ADE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153" w:type="dxa"/>
          </w:tcPr>
          <w:p w14:paraId="6B4D677A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550" w:type="dxa"/>
          </w:tcPr>
          <w:p w14:paraId="0258C2EC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080" w:type="dxa"/>
          </w:tcPr>
          <w:p w14:paraId="154647BE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080" w:type="dxa"/>
          </w:tcPr>
          <w:p w14:paraId="6CA6BDDB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170" w:type="dxa"/>
          </w:tcPr>
          <w:p w14:paraId="52DA96ED" w14:textId="77777777" w:rsidR="002E5AD9" w:rsidRPr="00B82AFE" w:rsidRDefault="002E5AD9" w:rsidP="00814854">
            <w:pPr>
              <w:pStyle w:val="NoSpacing"/>
              <w:jc w:val="both"/>
            </w:pPr>
          </w:p>
        </w:tc>
        <w:tc>
          <w:tcPr>
            <w:tcW w:w="1975" w:type="dxa"/>
          </w:tcPr>
          <w:p w14:paraId="53CE6CAC" w14:textId="3E836C32" w:rsidR="002E5AD9" w:rsidRPr="00B82AFE" w:rsidRDefault="002E5AD9" w:rsidP="00814854">
            <w:pPr>
              <w:pStyle w:val="NoSpacing"/>
              <w:jc w:val="both"/>
            </w:pPr>
          </w:p>
        </w:tc>
      </w:tr>
    </w:tbl>
    <w:p w14:paraId="2D7FCAC7" w14:textId="77777777" w:rsidR="0085721A" w:rsidRPr="00B82AFE" w:rsidRDefault="0085721A" w:rsidP="00814854">
      <w:pPr>
        <w:pStyle w:val="NoSpacing"/>
        <w:jc w:val="both"/>
      </w:pPr>
    </w:p>
    <w:p w14:paraId="1A92F136" w14:textId="2725447B" w:rsidR="0085721A" w:rsidRPr="00B82AFE" w:rsidRDefault="00351343" w:rsidP="00814854">
      <w:pPr>
        <w:pStyle w:val="NoSpacing"/>
        <w:jc w:val="both"/>
        <w:rPr>
          <w:b/>
          <w:u w:val="single"/>
        </w:rPr>
      </w:pPr>
      <w:r w:rsidRPr="00B82AFE">
        <w:rPr>
          <w:b/>
          <w:u w:val="single"/>
        </w:rPr>
        <w:t xml:space="preserve">Gathering System and </w:t>
      </w:r>
      <w:r w:rsidR="00B931DD" w:rsidRPr="00B82AFE">
        <w:rPr>
          <w:b/>
          <w:u w:val="single"/>
        </w:rPr>
        <w:t>Pipeline Notification</w:t>
      </w:r>
    </w:p>
    <w:p w14:paraId="7F56D00F" w14:textId="4CCA302C" w:rsidR="00697AC2" w:rsidRPr="00B82AFE" w:rsidRDefault="006B5B0A" w:rsidP="00814854">
      <w:pPr>
        <w:pStyle w:val="NoSpacing"/>
        <w:jc w:val="both"/>
        <w:rPr>
          <w:spacing w:val="-5"/>
        </w:rPr>
      </w:pPr>
      <w:r w:rsidRPr="00B82AFE">
        <w:rPr>
          <w:spacing w:val="-4"/>
        </w:rPr>
        <w:t>W</w:t>
      </w:r>
      <w:r w:rsidR="00B931DD" w:rsidRPr="00B82AFE">
        <w:rPr>
          <w:spacing w:val="-4"/>
        </w:rPr>
        <w:t>ell</w:t>
      </w:r>
      <w:r w:rsidRPr="00B82AFE">
        <w:rPr>
          <w:spacing w:val="-4"/>
        </w:rPr>
        <w:t>(</w:t>
      </w:r>
      <w:r w:rsidR="00B931DD" w:rsidRPr="00B82AFE">
        <w:rPr>
          <w:spacing w:val="-4"/>
        </w:rPr>
        <w:t>s</w:t>
      </w:r>
      <w:r w:rsidRPr="00B82AFE">
        <w:rPr>
          <w:spacing w:val="-4"/>
        </w:rPr>
        <w:t>)</w:t>
      </w:r>
      <w:r w:rsidR="00B931DD" w:rsidRPr="00B82AFE">
        <w:rPr>
          <w:spacing w:val="-4"/>
        </w:rPr>
        <w:t xml:space="preserve"> will be connected to </w:t>
      </w:r>
      <w:r w:rsidR="00351343" w:rsidRPr="00B82AFE">
        <w:rPr>
          <w:spacing w:val="-4"/>
        </w:rPr>
        <w:t>a p</w:t>
      </w:r>
      <w:r w:rsidR="00351343" w:rsidRPr="00B82AFE">
        <w:t>roduction facilit</w:t>
      </w:r>
      <w:r w:rsidR="009C737F" w:rsidRPr="00B82AFE">
        <w:t>y</w:t>
      </w:r>
      <w:r w:rsidR="002859D9" w:rsidRPr="00B82AFE">
        <w:t xml:space="preserve"> after flowback operations are complete</w:t>
      </w:r>
      <w:r w:rsidR="009C2D5C" w:rsidRPr="00B82AFE">
        <w:t>, if gas transporter system is in place</w:t>
      </w:r>
      <w:r w:rsidR="00351343" w:rsidRPr="00B82AFE">
        <w:t xml:space="preserve">.  The gas </w:t>
      </w:r>
      <w:r w:rsidR="009129D1" w:rsidRPr="00B82AFE">
        <w:t xml:space="preserve">produced from production facility is dedicated to </w:t>
      </w:r>
      <w:r w:rsidR="009129D1" w:rsidRPr="00B82AFE">
        <w:rPr>
          <w:u w:val="single"/>
        </w:rPr>
        <w:t>Gas Transporter</w:t>
      </w:r>
      <w:r w:rsidR="009129D1" w:rsidRPr="00B82AFE">
        <w:t xml:space="preserve"> and</w:t>
      </w:r>
      <w:r w:rsidR="00351343" w:rsidRPr="00B82AFE">
        <w:t xml:space="preserve"> will be connected to </w:t>
      </w:r>
      <w:r w:rsidR="00351343" w:rsidRPr="00B82AFE">
        <w:rPr>
          <w:spacing w:val="-4"/>
          <w:u w:val="single"/>
        </w:rPr>
        <w:t xml:space="preserve">Gas </w:t>
      </w:r>
      <w:r w:rsidR="00855173" w:rsidRPr="00B82AFE">
        <w:rPr>
          <w:spacing w:val="-4"/>
          <w:u w:val="single"/>
        </w:rPr>
        <w:t>Transporter</w:t>
      </w:r>
      <w:r w:rsidR="00351343" w:rsidRPr="00B82AFE">
        <w:t xml:space="preserve"> low/high pressure gathering system</w:t>
      </w:r>
      <w:r w:rsidR="00ED3C94" w:rsidRPr="00B82AFE">
        <w:t xml:space="preserve"> located in </w:t>
      </w:r>
      <w:r w:rsidR="003663BB" w:rsidRPr="007C2C2B">
        <w:t xml:space="preserve">_______ </w:t>
      </w:r>
      <w:r w:rsidR="00ED3C94" w:rsidRPr="00B82AFE">
        <w:t>County, New Mexico</w:t>
      </w:r>
      <w:r w:rsidR="00351343" w:rsidRPr="00B82AFE">
        <w:t xml:space="preserve">.  It will require </w:t>
      </w:r>
      <w:r w:rsidR="003663BB">
        <w:t>______</w:t>
      </w:r>
      <w:r w:rsidR="00351343" w:rsidRPr="00B82AFE">
        <w:t xml:space="preserve">' of pipeline to connect the </w:t>
      </w:r>
      <w:r w:rsidR="009C737F" w:rsidRPr="00B82AFE">
        <w:t xml:space="preserve">facility </w:t>
      </w:r>
      <w:r w:rsidR="00351343" w:rsidRPr="00B82AFE">
        <w:t>to low</w:t>
      </w:r>
      <w:r w:rsidR="009C737F" w:rsidRPr="00B82AFE">
        <w:t>/high</w:t>
      </w:r>
      <w:r w:rsidR="00351343" w:rsidRPr="00B82AFE">
        <w:t xml:space="preserve"> pressure gathering system</w:t>
      </w:r>
      <w:r w:rsidR="00351343" w:rsidRPr="003663BB">
        <w:t>.</w:t>
      </w:r>
      <w:r w:rsidR="00B931DD" w:rsidRPr="003663BB">
        <w:rPr>
          <w:spacing w:val="-4"/>
        </w:rPr>
        <w:t xml:space="preserve"> </w:t>
      </w:r>
      <w:r w:rsidR="009129D1" w:rsidRPr="003663BB">
        <w:rPr>
          <w:spacing w:val="-4"/>
        </w:rPr>
        <w:t xml:space="preserve"> </w:t>
      </w:r>
      <w:r w:rsidR="00544DA3" w:rsidRPr="003663BB">
        <w:rPr>
          <w:spacing w:val="-4"/>
          <w:u w:val="single"/>
        </w:rPr>
        <w:t>Operator</w:t>
      </w:r>
      <w:r w:rsidR="00B931DD" w:rsidRPr="00B82AFE">
        <w:rPr>
          <w:spacing w:val="-4"/>
        </w:rPr>
        <w:t xml:space="preserve"> provides (</w:t>
      </w:r>
      <w:r w:rsidR="0031357D" w:rsidRPr="00B82AFE">
        <w:rPr>
          <w:spacing w:val="-4"/>
        </w:rPr>
        <w:t>periodically</w:t>
      </w:r>
      <w:r w:rsidR="00B931DD" w:rsidRPr="00B82AFE">
        <w:rPr>
          <w:spacing w:val="-4"/>
        </w:rPr>
        <w:t xml:space="preserve">) to </w:t>
      </w:r>
      <w:r w:rsidR="00544DA3" w:rsidRPr="003663BB">
        <w:rPr>
          <w:spacing w:val="-4"/>
          <w:u w:val="single"/>
        </w:rPr>
        <w:t xml:space="preserve">Gas </w:t>
      </w:r>
      <w:r w:rsidR="00855173" w:rsidRPr="003663BB">
        <w:rPr>
          <w:spacing w:val="-4"/>
          <w:u w:val="single"/>
        </w:rPr>
        <w:t>Transporter</w:t>
      </w:r>
      <w:r w:rsidR="00B931DD" w:rsidRPr="00B82AFE">
        <w:rPr>
          <w:spacing w:val="-4"/>
        </w:rPr>
        <w:t xml:space="preserve"> a drilling, completion and estimated first production date for wells that are scheduled to be drilled in the foreseeable future. </w:t>
      </w:r>
      <w:r w:rsidR="009129D1" w:rsidRPr="00B82AFE">
        <w:rPr>
          <w:spacing w:val="-4"/>
        </w:rPr>
        <w:t xml:space="preserve"> </w:t>
      </w:r>
      <w:r w:rsidR="00B931DD" w:rsidRPr="00B82AFE">
        <w:rPr>
          <w:spacing w:val="-4"/>
        </w:rPr>
        <w:t xml:space="preserve">In addition, </w:t>
      </w:r>
      <w:r w:rsidR="00544DA3" w:rsidRPr="00B82AFE">
        <w:rPr>
          <w:spacing w:val="-4"/>
          <w:u w:val="single"/>
        </w:rPr>
        <w:t>Operator</w:t>
      </w:r>
      <w:r w:rsidR="00B931DD" w:rsidRPr="00B82AFE">
        <w:rPr>
          <w:spacing w:val="-4"/>
        </w:rPr>
        <w:t xml:space="preserve"> and </w:t>
      </w:r>
      <w:r w:rsidR="00544DA3" w:rsidRPr="00B82AFE">
        <w:rPr>
          <w:spacing w:val="-4"/>
          <w:u w:val="single"/>
        </w:rPr>
        <w:t xml:space="preserve">Gas </w:t>
      </w:r>
      <w:r w:rsidR="00855173" w:rsidRPr="00B82AFE">
        <w:rPr>
          <w:spacing w:val="-4"/>
          <w:u w:val="single"/>
        </w:rPr>
        <w:t>Transporter</w:t>
      </w:r>
      <w:r w:rsidR="00B931DD" w:rsidRPr="00B82AFE">
        <w:rPr>
          <w:spacing w:val="-4"/>
        </w:rPr>
        <w:t xml:space="preserve"> have </w:t>
      </w:r>
      <w:r w:rsidR="0031357D" w:rsidRPr="00B82AFE">
        <w:rPr>
          <w:spacing w:val="-4"/>
        </w:rPr>
        <w:t xml:space="preserve">periodic </w:t>
      </w:r>
      <w:r w:rsidR="00B931DD" w:rsidRPr="00B82AFE">
        <w:rPr>
          <w:spacing w:val="-4"/>
        </w:rPr>
        <w:t>conference calls to discuss changes to drilling and completion schedules.</w:t>
      </w:r>
      <w:r w:rsidR="00697AC2" w:rsidRPr="00B82AFE">
        <w:rPr>
          <w:spacing w:val="-4"/>
        </w:rPr>
        <w:t xml:space="preserve">  </w:t>
      </w:r>
      <w:r w:rsidR="00697AC2" w:rsidRPr="00B82AFE">
        <w:rPr>
          <w:spacing w:val="-5"/>
        </w:rPr>
        <w:t xml:space="preserve">Gas from these wells will be processed at </w:t>
      </w:r>
      <w:r w:rsidR="00697AC2" w:rsidRPr="00B82AFE">
        <w:rPr>
          <w:spacing w:val="-4"/>
          <w:u w:val="single"/>
        </w:rPr>
        <w:t xml:space="preserve">Gas </w:t>
      </w:r>
      <w:r w:rsidR="00855173" w:rsidRPr="00B82AFE">
        <w:rPr>
          <w:spacing w:val="-4"/>
          <w:u w:val="single"/>
        </w:rPr>
        <w:t>Transporter</w:t>
      </w:r>
      <w:r w:rsidR="00697AC2" w:rsidRPr="00B82AFE">
        <w:rPr>
          <w:spacing w:val="-5"/>
        </w:rPr>
        <w:t xml:space="preserve"> Processing Plant located in </w:t>
      </w:r>
      <w:r w:rsidR="00697AC2" w:rsidRPr="002A4AE9">
        <w:rPr>
          <w:spacing w:val="-5"/>
        </w:rPr>
        <w:t>Sec.</w:t>
      </w:r>
      <w:r w:rsidR="002A4AE9">
        <w:rPr>
          <w:spacing w:val="-5"/>
        </w:rPr>
        <w:t>_____</w:t>
      </w:r>
      <w:r w:rsidR="00697AC2" w:rsidRPr="00B82AFE">
        <w:rPr>
          <w:spacing w:val="-5"/>
        </w:rPr>
        <w:t xml:space="preserve">, </w:t>
      </w:r>
      <w:r w:rsidR="009B5819" w:rsidRPr="002A4AE9">
        <w:rPr>
          <w:spacing w:val="-5"/>
        </w:rPr>
        <w:t>Twn.</w:t>
      </w:r>
      <w:r w:rsidR="002A4AE9">
        <w:rPr>
          <w:spacing w:val="-5"/>
        </w:rPr>
        <w:t>_____</w:t>
      </w:r>
      <w:r w:rsidR="00697AC2" w:rsidRPr="002A4AE9">
        <w:rPr>
          <w:spacing w:val="-5"/>
        </w:rPr>
        <w:t>, R</w:t>
      </w:r>
      <w:r w:rsidR="009B5819" w:rsidRPr="002A4AE9">
        <w:rPr>
          <w:spacing w:val="-5"/>
        </w:rPr>
        <w:t>ng.</w:t>
      </w:r>
      <w:r w:rsidR="002A4AE9">
        <w:rPr>
          <w:spacing w:val="-5"/>
        </w:rPr>
        <w:t>_____</w:t>
      </w:r>
      <w:r w:rsidR="00697AC2" w:rsidRPr="00B82AFE">
        <w:rPr>
          <w:spacing w:val="-5"/>
        </w:rPr>
        <w:t>,</w:t>
      </w:r>
      <w:r w:rsidR="00617060">
        <w:rPr>
          <w:spacing w:val="-5"/>
        </w:rPr>
        <w:t xml:space="preserve"> </w:t>
      </w:r>
      <w:r w:rsidR="00617060" w:rsidRPr="007C2C2B">
        <w:t xml:space="preserve">_______ </w:t>
      </w:r>
      <w:r w:rsidR="00697AC2" w:rsidRPr="00B82AFE">
        <w:rPr>
          <w:spacing w:val="-5"/>
        </w:rPr>
        <w:t>County, New Mexico. The actual flow of the gas will be based on compression operating parameters and gathering system pressures.</w:t>
      </w:r>
    </w:p>
    <w:p w14:paraId="123C71F2" w14:textId="4E0A61CD" w:rsidR="0085721A" w:rsidRPr="00B82AFE" w:rsidRDefault="0085721A" w:rsidP="00814854">
      <w:pPr>
        <w:pStyle w:val="NoSpacing"/>
        <w:jc w:val="both"/>
        <w:rPr>
          <w:spacing w:val="-4"/>
        </w:rPr>
      </w:pPr>
    </w:p>
    <w:p w14:paraId="1A0B64F1" w14:textId="77777777" w:rsidR="0085721A" w:rsidRPr="00B82AFE" w:rsidRDefault="00B931DD" w:rsidP="00814854">
      <w:pPr>
        <w:pStyle w:val="NoSpacing"/>
        <w:jc w:val="both"/>
        <w:rPr>
          <w:b/>
          <w:spacing w:val="4"/>
          <w:u w:val="single"/>
        </w:rPr>
      </w:pPr>
      <w:r w:rsidRPr="00B82AFE">
        <w:rPr>
          <w:b/>
          <w:spacing w:val="4"/>
          <w:u w:val="single"/>
        </w:rPr>
        <w:t>Flowback Strategy</w:t>
      </w:r>
    </w:p>
    <w:p w14:paraId="422C3431" w14:textId="4A585732" w:rsidR="00EF609B" w:rsidRPr="00B82AFE" w:rsidRDefault="00B931DD" w:rsidP="00814854">
      <w:pPr>
        <w:pStyle w:val="NoSpacing"/>
        <w:jc w:val="both"/>
        <w:rPr>
          <w:spacing w:val="-4"/>
        </w:rPr>
      </w:pPr>
      <w:r w:rsidRPr="00B82AFE">
        <w:rPr>
          <w:spacing w:val="-1"/>
        </w:rPr>
        <w:t>After the fracture treatment</w:t>
      </w:r>
      <w:r w:rsidR="00D61104" w:rsidRPr="00B82AFE">
        <w:rPr>
          <w:spacing w:val="-1"/>
        </w:rPr>
        <w:t>/completion operations</w:t>
      </w:r>
      <w:r w:rsidRPr="00B82AFE">
        <w:rPr>
          <w:spacing w:val="-1"/>
        </w:rPr>
        <w:t>, well</w:t>
      </w:r>
      <w:r w:rsidR="00D61104" w:rsidRPr="00B82AFE">
        <w:rPr>
          <w:spacing w:val="-1"/>
        </w:rPr>
        <w:t>(</w:t>
      </w:r>
      <w:r w:rsidRPr="00B82AFE">
        <w:rPr>
          <w:spacing w:val="-1"/>
        </w:rPr>
        <w:t>s</w:t>
      </w:r>
      <w:r w:rsidR="00D61104" w:rsidRPr="00B82AFE">
        <w:rPr>
          <w:spacing w:val="-1"/>
        </w:rPr>
        <w:t>)</w:t>
      </w:r>
      <w:r w:rsidRPr="00B82AFE">
        <w:rPr>
          <w:spacing w:val="-1"/>
        </w:rPr>
        <w:t xml:space="preserve"> will be </w:t>
      </w:r>
      <w:r w:rsidR="009C737F" w:rsidRPr="00B82AFE">
        <w:rPr>
          <w:spacing w:val="-1"/>
        </w:rPr>
        <w:t>produced to temporary production tanks</w:t>
      </w:r>
      <w:r w:rsidR="00D61104" w:rsidRPr="00B82AFE">
        <w:rPr>
          <w:spacing w:val="-1"/>
        </w:rPr>
        <w:t xml:space="preserve"> and gas will be flared or vented</w:t>
      </w:r>
      <w:r w:rsidR="009C737F" w:rsidRPr="00B82AFE">
        <w:rPr>
          <w:spacing w:val="-1"/>
        </w:rPr>
        <w:t>.</w:t>
      </w:r>
      <w:r w:rsidRPr="00B82AFE">
        <w:rPr>
          <w:spacing w:val="-1"/>
        </w:rPr>
        <w:t xml:space="preserve"> During flowback, the </w:t>
      </w:r>
      <w:r w:rsidR="0041126B" w:rsidRPr="00B82AFE">
        <w:rPr>
          <w:spacing w:val="-1"/>
        </w:rPr>
        <w:t>fluid</w:t>
      </w:r>
      <w:r w:rsidRPr="00B82AFE">
        <w:rPr>
          <w:spacing w:val="-1"/>
        </w:rPr>
        <w:t>s and sand</w:t>
      </w:r>
      <w:r w:rsidR="00EF609B" w:rsidRPr="00B82AFE">
        <w:rPr>
          <w:spacing w:val="-1"/>
        </w:rPr>
        <w:t xml:space="preserve"> </w:t>
      </w:r>
      <w:r w:rsidRPr="00B82AFE">
        <w:rPr>
          <w:spacing w:val="-4"/>
        </w:rPr>
        <w:t xml:space="preserve">content will be monitored. </w:t>
      </w:r>
      <w:r w:rsidR="0041126B" w:rsidRPr="00B82AFE">
        <w:rPr>
          <w:spacing w:val="-4"/>
        </w:rPr>
        <w:t xml:space="preserve"> </w:t>
      </w:r>
      <w:r w:rsidRPr="00B82AFE">
        <w:rPr>
          <w:spacing w:val="-4"/>
        </w:rPr>
        <w:t xml:space="preserve">When </w:t>
      </w:r>
      <w:r w:rsidR="00B853C2" w:rsidRPr="00B82AFE">
        <w:rPr>
          <w:spacing w:val="-4"/>
        </w:rPr>
        <w:t>the produced</w:t>
      </w:r>
      <w:r w:rsidRPr="00B82AFE">
        <w:rPr>
          <w:spacing w:val="-4"/>
        </w:rPr>
        <w:t xml:space="preserve"> fluids contain </w:t>
      </w:r>
      <w:r w:rsidR="00E97232" w:rsidRPr="00B82AFE">
        <w:rPr>
          <w:spacing w:val="-4"/>
        </w:rPr>
        <w:t>minimal</w:t>
      </w:r>
      <w:r w:rsidRPr="00B82AFE">
        <w:rPr>
          <w:spacing w:val="-4"/>
        </w:rPr>
        <w:t xml:space="preserve"> sand, the wells will be turned to production facilities. </w:t>
      </w:r>
      <w:r w:rsidR="009C282A" w:rsidRPr="00B82AFE">
        <w:rPr>
          <w:spacing w:val="-4"/>
        </w:rPr>
        <w:t xml:space="preserve"> </w:t>
      </w:r>
      <w:r w:rsidR="009C2D5C" w:rsidRPr="00B82AFE">
        <w:rPr>
          <w:spacing w:val="-4"/>
        </w:rPr>
        <w:t>G</w:t>
      </w:r>
      <w:r w:rsidRPr="00B82AFE">
        <w:rPr>
          <w:spacing w:val="-4"/>
        </w:rPr>
        <w:t xml:space="preserve">as sales should start as soon as the wells start flowing through the production facilities, unless there are </w:t>
      </w:r>
      <w:r w:rsidR="009C2D5C" w:rsidRPr="00B82AFE">
        <w:rPr>
          <w:spacing w:val="-4"/>
        </w:rPr>
        <w:t>operational</w:t>
      </w:r>
      <w:r w:rsidRPr="00B82AFE">
        <w:rPr>
          <w:spacing w:val="-4"/>
        </w:rPr>
        <w:t xml:space="preserve"> issues on </w:t>
      </w:r>
      <w:r w:rsidR="00EF609B" w:rsidRPr="00B82AFE">
        <w:rPr>
          <w:spacing w:val="-4"/>
          <w:u w:val="single"/>
        </w:rPr>
        <w:t xml:space="preserve">Gas </w:t>
      </w:r>
      <w:r w:rsidR="00855173" w:rsidRPr="00B82AFE">
        <w:rPr>
          <w:spacing w:val="-4"/>
          <w:u w:val="single"/>
        </w:rPr>
        <w:t>Transporter</w:t>
      </w:r>
      <w:r w:rsidR="00EF609B" w:rsidRPr="00B82AFE">
        <w:rPr>
          <w:spacing w:val="-4"/>
        </w:rPr>
        <w:t xml:space="preserve"> </w:t>
      </w:r>
      <w:r w:rsidRPr="00B82AFE">
        <w:rPr>
          <w:spacing w:val="-4"/>
        </w:rPr>
        <w:t xml:space="preserve">system at that time. Based on current information, it is </w:t>
      </w:r>
      <w:r w:rsidR="009C2D5C" w:rsidRPr="00B82AFE">
        <w:rPr>
          <w:spacing w:val="-4"/>
          <w:u w:val="single"/>
        </w:rPr>
        <w:t>Operator’s</w:t>
      </w:r>
      <w:r w:rsidRPr="00B82AFE">
        <w:rPr>
          <w:spacing w:val="-4"/>
        </w:rPr>
        <w:t xml:space="preserve"> belief the system can take this gas upon completion of the well</w:t>
      </w:r>
      <w:r w:rsidR="00D61104" w:rsidRPr="00B82AFE">
        <w:rPr>
          <w:spacing w:val="-4"/>
        </w:rPr>
        <w:t>(</w:t>
      </w:r>
      <w:r w:rsidRPr="00B82AFE">
        <w:rPr>
          <w:spacing w:val="-4"/>
        </w:rPr>
        <w:t>s</w:t>
      </w:r>
      <w:r w:rsidR="00D61104" w:rsidRPr="00B82AFE">
        <w:rPr>
          <w:spacing w:val="-4"/>
        </w:rPr>
        <w:t>)</w:t>
      </w:r>
      <w:r w:rsidRPr="00B82AFE">
        <w:rPr>
          <w:spacing w:val="-4"/>
        </w:rPr>
        <w:t>.</w:t>
      </w:r>
    </w:p>
    <w:p w14:paraId="6A4AAE6E" w14:textId="77777777" w:rsidR="000C06A4" w:rsidRPr="00B82AFE" w:rsidRDefault="000C06A4" w:rsidP="00814854">
      <w:pPr>
        <w:pStyle w:val="NoSpacing"/>
        <w:jc w:val="both"/>
        <w:rPr>
          <w:spacing w:val="-4"/>
        </w:rPr>
      </w:pPr>
    </w:p>
    <w:p w14:paraId="3CEDF694" w14:textId="2D8738CF" w:rsidR="000C06A4" w:rsidRPr="00B82AFE" w:rsidRDefault="000C06A4" w:rsidP="00814854">
      <w:pPr>
        <w:pStyle w:val="NoSpacing"/>
        <w:jc w:val="both"/>
        <w:rPr>
          <w:spacing w:val="-1"/>
        </w:rPr>
      </w:pPr>
      <w:r w:rsidRPr="00B82AFE">
        <w:rPr>
          <w:spacing w:val="-1"/>
        </w:rPr>
        <w:t>Safety requirements during cleanout operations from the use of underbalanced air cleanout systems may necessitate that sand and non-pipeline quality gas be vented and/or flared rather than sold on a temporary basis.</w:t>
      </w:r>
    </w:p>
    <w:p w14:paraId="4E12A919" w14:textId="77777777" w:rsidR="000C06A4" w:rsidRPr="00B82AFE" w:rsidRDefault="000C06A4" w:rsidP="00814854">
      <w:pPr>
        <w:pStyle w:val="NoSpacing"/>
        <w:jc w:val="both"/>
        <w:rPr>
          <w:spacing w:val="-4"/>
        </w:rPr>
      </w:pPr>
    </w:p>
    <w:p w14:paraId="3CF3A710" w14:textId="551C7AB4" w:rsidR="005C70A9" w:rsidRPr="00B82AFE" w:rsidRDefault="005C70A9" w:rsidP="00814854">
      <w:pPr>
        <w:pStyle w:val="NoSpacing"/>
        <w:jc w:val="both"/>
        <w:rPr>
          <w:b/>
          <w:spacing w:val="-4"/>
          <w:u w:val="single"/>
        </w:rPr>
      </w:pPr>
      <w:r w:rsidRPr="00B82AFE">
        <w:rPr>
          <w:b/>
          <w:spacing w:val="-4"/>
          <w:u w:val="single"/>
        </w:rPr>
        <w:t>Alternatives</w:t>
      </w:r>
      <w:r w:rsidR="009C2D5C" w:rsidRPr="00B82AFE">
        <w:rPr>
          <w:b/>
          <w:spacing w:val="-4"/>
          <w:u w:val="single"/>
        </w:rPr>
        <w:t xml:space="preserve"> to Reduce Flaring</w:t>
      </w:r>
    </w:p>
    <w:p w14:paraId="189585C9" w14:textId="3B3A33AE" w:rsidR="0080064B" w:rsidRPr="00B82AFE" w:rsidRDefault="0080064B" w:rsidP="00814854">
      <w:pPr>
        <w:pStyle w:val="NoSpacing"/>
        <w:jc w:val="both"/>
        <w:rPr>
          <w:spacing w:val="-4"/>
        </w:rPr>
      </w:pPr>
      <w:r w:rsidRPr="00B82AFE">
        <w:rPr>
          <w:spacing w:val="-4"/>
        </w:rPr>
        <w:t>Below are alternatives considered from a conceptual standpoint to reduce the amount of gas flared.</w:t>
      </w:r>
    </w:p>
    <w:p w14:paraId="6A5CE255" w14:textId="5F7536CE" w:rsidR="005C70A9" w:rsidRPr="00B82AFE" w:rsidRDefault="005C70A9" w:rsidP="00814854">
      <w:pPr>
        <w:pStyle w:val="NoSpacing"/>
        <w:numPr>
          <w:ilvl w:val="0"/>
          <w:numId w:val="7"/>
        </w:numPr>
        <w:jc w:val="both"/>
        <w:rPr>
          <w:spacing w:val="-4"/>
          <w:u w:val="single"/>
        </w:rPr>
      </w:pPr>
      <w:r w:rsidRPr="00B82AFE">
        <w:rPr>
          <w:spacing w:val="-4"/>
        </w:rPr>
        <w:t>Power Generation – On lease</w:t>
      </w:r>
    </w:p>
    <w:p w14:paraId="4F40569E" w14:textId="4409E382" w:rsidR="005C70A9" w:rsidRPr="00B82AFE" w:rsidRDefault="005C70A9" w:rsidP="00814854">
      <w:pPr>
        <w:pStyle w:val="NoSpacing"/>
        <w:numPr>
          <w:ilvl w:val="1"/>
          <w:numId w:val="7"/>
        </w:numPr>
        <w:jc w:val="both"/>
        <w:rPr>
          <w:spacing w:val="-4"/>
          <w:u w:val="single"/>
        </w:rPr>
      </w:pPr>
      <w:r w:rsidRPr="00B82AFE">
        <w:rPr>
          <w:spacing w:val="-4"/>
        </w:rPr>
        <w:t>Only a portion of gas is consumed operating the generator, remainder of gas will be flared</w:t>
      </w:r>
    </w:p>
    <w:p w14:paraId="4A1DFC06" w14:textId="3CE5E9BF" w:rsidR="005C70A9" w:rsidRPr="00B82AFE" w:rsidRDefault="005C70A9" w:rsidP="00814854">
      <w:pPr>
        <w:pStyle w:val="NoSpacing"/>
        <w:numPr>
          <w:ilvl w:val="0"/>
          <w:numId w:val="7"/>
        </w:numPr>
        <w:jc w:val="both"/>
        <w:rPr>
          <w:spacing w:val="-4"/>
          <w:u w:val="single"/>
        </w:rPr>
      </w:pPr>
      <w:r w:rsidRPr="00B82AFE">
        <w:rPr>
          <w:spacing w:val="-4"/>
        </w:rPr>
        <w:t>Compressed Natural Gas – On lease</w:t>
      </w:r>
    </w:p>
    <w:p w14:paraId="5B4512AF" w14:textId="5F546740" w:rsidR="005C70A9" w:rsidRPr="00B82AFE" w:rsidRDefault="005C70A9" w:rsidP="00814854">
      <w:pPr>
        <w:pStyle w:val="NoSpacing"/>
        <w:numPr>
          <w:ilvl w:val="1"/>
          <w:numId w:val="7"/>
        </w:numPr>
        <w:jc w:val="both"/>
        <w:rPr>
          <w:spacing w:val="-4"/>
          <w:u w:val="single"/>
        </w:rPr>
      </w:pPr>
      <w:r w:rsidRPr="00B82AFE">
        <w:rPr>
          <w:spacing w:val="-4"/>
        </w:rPr>
        <w:t>Gas flared would be minimal, but might be uneconomical to operate when gas volume declines</w:t>
      </w:r>
    </w:p>
    <w:p w14:paraId="2FD4D103" w14:textId="08F58A2B" w:rsidR="002859D9" w:rsidRPr="00B82AFE" w:rsidRDefault="009C2D5C" w:rsidP="00814854">
      <w:pPr>
        <w:pStyle w:val="NoSpacing"/>
        <w:numPr>
          <w:ilvl w:val="0"/>
          <w:numId w:val="7"/>
        </w:numPr>
        <w:jc w:val="both"/>
        <w:rPr>
          <w:spacing w:val="-4"/>
          <w:u w:val="single"/>
        </w:rPr>
      </w:pPr>
      <w:r w:rsidRPr="00B82AFE">
        <w:rPr>
          <w:spacing w:val="-4"/>
        </w:rPr>
        <w:t>NGL Removal – On lease</w:t>
      </w:r>
    </w:p>
    <w:p w14:paraId="1C343412" w14:textId="35301C5E" w:rsidR="0085721A" w:rsidRPr="0090253E" w:rsidRDefault="009C2D5C" w:rsidP="0090253E">
      <w:pPr>
        <w:pStyle w:val="NoSpacing"/>
        <w:numPr>
          <w:ilvl w:val="1"/>
          <w:numId w:val="7"/>
        </w:numPr>
        <w:jc w:val="both"/>
        <w:rPr>
          <w:spacing w:val="-4"/>
        </w:rPr>
      </w:pPr>
      <w:r w:rsidRPr="00B82AFE">
        <w:rPr>
          <w:spacing w:val="-4"/>
        </w:rPr>
        <w:t>Plants are expensive, residue gas is still flared, and uneconomical to operate when gas volume declines</w:t>
      </w:r>
    </w:p>
    <w:sectPr w:rsidR="0085721A" w:rsidRPr="0090253E" w:rsidSect="008E7162">
      <w:pgSz w:w="12240" w:h="15840"/>
      <w:pgMar w:top="36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5F2D"/>
    <w:multiLevelType w:val="multilevel"/>
    <w:tmpl w:val="17E2874A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b/>
        <w:strike w:val="0"/>
        <w:color w:val="000000"/>
        <w:spacing w:val="-1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35136"/>
    <w:multiLevelType w:val="multilevel"/>
    <w:tmpl w:val="B4083D06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76F05"/>
    <w:multiLevelType w:val="multilevel"/>
    <w:tmpl w:val="BA7A644C"/>
    <w:lvl w:ilvl="0">
      <w:start w:val="1"/>
      <w:numFmt w:val="bullet"/>
      <w:lvlText w:val="&amp;"/>
      <w:lvlJc w:val="left"/>
      <w:pPr>
        <w:tabs>
          <w:tab w:val="left" w:pos="216"/>
        </w:tabs>
        <w:ind w:left="720"/>
      </w:pPr>
      <w:rPr>
        <w:rFonts w:ascii="Tahoma" w:eastAsia="Tahoma" w:hAnsi="Tahoma"/>
        <w:b/>
        <w:strike w:val="0"/>
        <w:color w:val="000000"/>
        <w:spacing w:val="-1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D777C"/>
    <w:multiLevelType w:val="multilevel"/>
    <w:tmpl w:val="457E858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-9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2184F"/>
    <w:multiLevelType w:val="multilevel"/>
    <w:tmpl w:val="775438FC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D2EB3"/>
    <w:multiLevelType w:val="multilevel"/>
    <w:tmpl w:val="B082F290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999999"/>
        <w:spacing w:val="9"/>
        <w:w w:val="100"/>
        <w:sz w:val="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64EDD"/>
    <w:multiLevelType w:val="hybridMultilevel"/>
    <w:tmpl w:val="A94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1A"/>
    <w:rsid w:val="00020883"/>
    <w:rsid w:val="000C06A4"/>
    <w:rsid w:val="00102F4E"/>
    <w:rsid w:val="0014540F"/>
    <w:rsid w:val="00207402"/>
    <w:rsid w:val="002859D9"/>
    <w:rsid w:val="002A4AE9"/>
    <w:rsid w:val="002A4E48"/>
    <w:rsid w:val="002C57A9"/>
    <w:rsid w:val="002E5AD9"/>
    <w:rsid w:val="0031357D"/>
    <w:rsid w:val="00351343"/>
    <w:rsid w:val="0036082F"/>
    <w:rsid w:val="003663BB"/>
    <w:rsid w:val="00380091"/>
    <w:rsid w:val="003F18F0"/>
    <w:rsid w:val="004017C6"/>
    <w:rsid w:val="0041126B"/>
    <w:rsid w:val="00464D1F"/>
    <w:rsid w:val="00497843"/>
    <w:rsid w:val="004A33CC"/>
    <w:rsid w:val="005213A7"/>
    <w:rsid w:val="00544DA3"/>
    <w:rsid w:val="0058030A"/>
    <w:rsid w:val="005C70A9"/>
    <w:rsid w:val="005D21D6"/>
    <w:rsid w:val="005F1BAD"/>
    <w:rsid w:val="00613CB8"/>
    <w:rsid w:val="00617060"/>
    <w:rsid w:val="00680C48"/>
    <w:rsid w:val="00697AC2"/>
    <w:rsid w:val="006B5B0A"/>
    <w:rsid w:val="007B47A8"/>
    <w:rsid w:val="007B5BC8"/>
    <w:rsid w:val="007C2C2B"/>
    <w:rsid w:val="0080064B"/>
    <w:rsid w:val="00814854"/>
    <w:rsid w:val="00855173"/>
    <w:rsid w:val="0085721A"/>
    <w:rsid w:val="00894D42"/>
    <w:rsid w:val="008E7162"/>
    <w:rsid w:val="0090253E"/>
    <w:rsid w:val="00906FE2"/>
    <w:rsid w:val="009129D1"/>
    <w:rsid w:val="009246D4"/>
    <w:rsid w:val="009B5819"/>
    <w:rsid w:val="009C282A"/>
    <w:rsid w:val="009C2D5C"/>
    <w:rsid w:val="009C737F"/>
    <w:rsid w:val="00AA033E"/>
    <w:rsid w:val="00AC45B5"/>
    <w:rsid w:val="00B3670A"/>
    <w:rsid w:val="00B82AFE"/>
    <w:rsid w:val="00B853C2"/>
    <w:rsid w:val="00B931DD"/>
    <w:rsid w:val="00BB5832"/>
    <w:rsid w:val="00C1512D"/>
    <w:rsid w:val="00C1772D"/>
    <w:rsid w:val="00C226A1"/>
    <w:rsid w:val="00D61104"/>
    <w:rsid w:val="00D656A4"/>
    <w:rsid w:val="00E41ACF"/>
    <w:rsid w:val="00E76498"/>
    <w:rsid w:val="00E932F0"/>
    <w:rsid w:val="00E97232"/>
    <w:rsid w:val="00EA320D"/>
    <w:rsid w:val="00ED3C94"/>
    <w:rsid w:val="00EF609B"/>
    <w:rsid w:val="00F737E8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3B81"/>
  <w15:docId w15:val="{2B8D1AD1-8ECC-4F8F-9F6F-39F3794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A7"/>
  </w:style>
  <w:style w:type="character" w:styleId="CommentReference">
    <w:name w:val="annotation reference"/>
    <w:basedOn w:val="DefaultParagraphFont"/>
    <w:uiPriority w:val="99"/>
    <w:semiHidden/>
    <w:unhideWhenUsed/>
    <w:rsid w:val="00BB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8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7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C737F"/>
  </w:style>
  <w:style w:type="paragraph" w:customStyle="1" w:styleId="t1">
    <w:name w:val="t1"/>
    <w:basedOn w:val="Normal"/>
    <w:uiPriority w:val="99"/>
    <w:rsid w:val="007B5BC8"/>
    <w:pPr>
      <w:widowControl w:val="0"/>
      <w:autoSpaceDE w:val="0"/>
      <w:autoSpaceDN w:val="0"/>
      <w:spacing w:line="170" w:lineRule="atLeas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OXY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Yolanda</dc:creator>
  <cp:lastModifiedBy>Salvidrez, Marlene</cp:lastModifiedBy>
  <cp:revision>4</cp:revision>
  <dcterms:created xsi:type="dcterms:W3CDTF">2016-04-12T21:03:00Z</dcterms:created>
  <dcterms:modified xsi:type="dcterms:W3CDTF">2016-04-25T22:37:00Z</dcterms:modified>
</cp:coreProperties>
</file>